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4906D" w14:textId="7DEAAC44" w:rsidR="002D24DC" w:rsidRPr="002D39A3" w:rsidRDefault="002D24DC" w:rsidP="002D39A3">
      <w:pPr>
        <w:jc w:val="center"/>
        <w:rPr>
          <w:rFonts w:ascii="Verdana" w:eastAsia="Times New Roman" w:hAnsi="Verdana"/>
          <w:sz w:val="28"/>
          <w:szCs w:val="28"/>
        </w:rPr>
      </w:pPr>
      <w:r w:rsidRPr="002D39A3">
        <w:rPr>
          <w:rFonts w:ascii="Verdana" w:eastAsia="Times New Roman" w:hAnsi="Verdana"/>
          <w:b/>
          <w:bCs/>
          <w:sz w:val="28"/>
          <w:szCs w:val="28"/>
        </w:rPr>
        <w:t>By</w:t>
      </w:r>
      <w:r w:rsidR="00F14460">
        <w:rPr>
          <w:rFonts w:ascii="Verdana" w:eastAsia="Times New Roman" w:hAnsi="Verdana"/>
          <w:b/>
          <w:bCs/>
          <w:sz w:val="28"/>
          <w:szCs w:val="28"/>
        </w:rPr>
        <w:t xml:space="preserve"> L</w:t>
      </w:r>
      <w:r w:rsidRPr="002D39A3">
        <w:rPr>
          <w:rFonts w:ascii="Verdana" w:eastAsia="Times New Roman" w:hAnsi="Verdana"/>
          <w:b/>
          <w:bCs/>
          <w:sz w:val="28"/>
          <w:szCs w:val="28"/>
        </w:rPr>
        <w:t xml:space="preserve">aws of the County Assembly in </w:t>
      </w:r>
      <w:r w:rsidRPr="002D39A3">
        <w:rPr>
          <w:rFonts w:ascii="Verdana" w:eastAsia="Times New Roman" w:hAnsi="Verdana"/>
          <w:b/>
          <w:bCs/>
          <w:sz w:val="28"/>
          <w:szCs w:val="28"/>
          <w:highlight w:val="magenta"/>
        </w:rPr>
        <w:t>(</w:t>
      </w:r>
      <w:r w:rsidRPr="002D39A3">
        <w:rPr>
          <w:rFonts w:ascii="Verdana" w:eastAsia="Times New Roman" w:hAnsi="Verdana"/>
          <w:b/>
          <w:bCs/>
          <w:i/>
          <w:iCs/>
          <w:sz w:val="28"/>
          <w:szCs w:val="28"/>
          <w:highlight w:val="magenta"/>
        </w:rPr>
        <w:t>Your County)</w:t>
      </w:r>
      <w:r w:rsidRPr="002D39A3">
        <w:rPr>
          <w:rFonts w:ascii="Verdana" w:eastAsia="Times New Roman" w:hAnsi="Verdana"/>
          <w:b/>
          <w:bCs/>
          <w:sz w:val="28"/>
          <w:szCs w:val="28"/>
        </w:rPr>
        <w:t>, Indiana</w:t>
      </w:r>
    </w:p>
    <w:p w14:paraId="335E2857" w14:textId="77777777" w:rsidR="008D2FFB" w:rsidRPr="00AD1854" w:rsidRDefault="008D2FFB" w:rsidP="008D2FFB">
      <w:pPr>
        <w:rPr>
          <w:b/>
          <w:bCs/>
          <w:sz w:val="24"/>
          <w:szCs w:val="24"/>
        </w:rPr>
      </w:pPr>
    </w:p>
    <w:tbl>
      <w:tblPr>
        <w:tblStyle w:val="TableGrid"/>
        <w:tblW w:w="0" w:type="auto"/>
        <w:tblLook w:val="04A0" w:firstRow="1" w:lastRow="0" w:firstColumn="1" w:lastColumn="0" w:noHBand="0" w:noVBand="1"/>
      </w:tblPr>
      <w:tblGrid>
        <w:gridCol w:w="1927"/>
        <w:gridCol w:w="7387"/>
      </w:tblGrid>
      <w:tr w:rsidR="008D2FFB" w14:paraId="5FB62AB0" w14:textId="77777777" w:rsidTr="00C21673">
        <w:trPr>
          <w:trHeight w:val="203"/>
        </w:trPr>
        <w:tc>
          <w:tcPr>
            <w:tcW w:w="1927" w:type="dxa"/>
          </w:tcPr>
          <w:p w14:paraId="3E3E60F4" w14:textId="77777777" w:rsidR="008D2FFB" w:rsidRPr="006F62EB" w:rsidRDefault="008D2FFB" w:rsidP="00185EC6">
            <w:pPr>
              <w:rPr>
                <w:b/>
                <w:bCs/>
              </w:rPr>
            </w:pPr>
            <w:r w:rsidRPr="006F62EB">
              <w:rPr>
                <w:b/>
                <w:bCs/>
              </w:rPr>
              <w:t>Title</w:t>
            </w:r>
          </w:p>
        </w:tc>
        <w:tc>
          <w:tcPr>
            <w:tcW w:w="7387" w:type="dxa"/>
          </w:tcPr>
          <w:p w14:paraId="7A1A5830" w14:textId="77777777" w:rsidR="008D2FFB" w:rsidRPr="006F62EB" w:rsidRDefault="008D2FFB" w:rsidP="00185EC6">
            <w:pPr>
              <w:rPr>
                <w:b/>
                <w:bCs/>
              </w:rPr>
            </w:pPr>
            <w:r w:rsidRPr="006F62EB">
              <w:rPr>
                <w:b/>
                <w:bCs/>
              </w:rPr>
              <w:t>Statements</w:t>
            </w:r>
          </w:p>
        </w:tc>
      </w:tr>
      <w:tr w:rsidR="008D2FFB" w14:paraId="23E2F889" w14:textId="77777777" w:rsidTr="00C21673">
        <w:trPr>
          <w:trHeight w:val="398"/>
        </w:trPr>
        <w:tc>
          <w:tcPr>
            <w:tcW w:w="1927" w:type="dxa"/>
          </w:tcPr>
          <w:p w14:paraId="6A908883" w14:textId="77777777" w:rsidR="008D2FFB" w:rsidRPr="006F62EB" w:rsidRDefault="008D2FFB" w:rsidP="00185EC6">
            <w:pPr>
              <w:rPr>
                <w:b/>
                <w:bCs/>
              </w:rPr>
            </w:pPr>
            <w:r w:rsidRPr="006F62EB">
              <w:rPr>
                <w:b/>
                <w:bCs/>
              </w:rPr>
              <w:t>Article I</w:t>
            </w:r>
            <w:r>
              <w:rPr>
                <w:b/>
                <w:bCs/>
              </w:rPr>
              <w:t xml:space="preserve">: </w:t>
            </w:r>
            <w:r w:rsidRPr="006F62EB">
              <w:rPr>
                <w:b/>
                <w:bCs/>
              </w:rPr>
              <w:t>Name</w:t>
            </w:r>
          </w:p>
        </w:tc>
        <w:tc>
          <w:tcPr>
            <w:tcW w:w="7387" w:type="dxa"/>
          </w:tcPr>
          <w:p w14:paraId="45D1FCFB" w14:textId="18DBD0D2" w:rsidR="008D2FFB" w:rsidRDefault="008D2FFB" w:rsidP="00185EC6">
            <w:r>
              <w:t xml:space="preserve">The name of this committee shall be </w:t>
            </w:r>
            <w:r w:rsidR="002D24DC">
              <w:rPr>
                <w:color w:val="77206D" w:themeColor="accent5" w:themeShade="BF"/>
              </w:rPr>
              <w:t>(</w:t>
            </w:r>
            <w:r w:rsidR="002D24DC">
              <w:rPr>
                <w:i/>
                <w:iCs/>
                <w:color w:val="77206D" w:themeColor="accent5" w:themeShade="BF"/>
              </w:rPr>
              <w:t>Your)</w:t>
            </w:r>
            <w:r>
              <w:t xml:space="preserve"> County Assembly, hereinafter referred to as “The Assembly”.</w:t>
            </w:r>
          </w:p>
        </w:tc>
      </w:tr>
      <w:tr w:rsidR="008D2FFB" w14:paraId="2A381E36" w14:textId="77777777" w:rsidTr="00C21673">
        <w:trPr>
          <w:trHeight w:val="1444"/>
        </w:trPr>
        <w:tc>
          <w:tcPr>
            <w:tcW w:w="1927" w:type="dxa"/>
          </w:tcPr>
          <w:p w14:paraId="556560F5" w14:textId="77777777" w:rsidR="008D2FFB" w:rsidRPr="006F62EB" w:rsidRDefault="008D2FFB" w:rsidP="00185EC6">
            <w:pPr>
              <w:rPr>
                <w:b/>
                <w:bCs/>
              </w:rPr>
            </w:pPr>
            <w:r>
              <w:rPr>
                <w:b/>
                <w:bCs/>
              </w:rPr>
              <w:t>Article II: Purpose</w:t>
            </w:r>
          </w:p>
        </w:tc>
        <w:tc>
          <w:tcPr>
            <w:tcW w:w="7387" w:type="dxa"/>
          </w:tcPr>
          <w:p w14:paraId="2D4571E5" w14:textId="77777777" w:rsidR="008D2FFB" w:rsidRDefault="008D2FFB" w:rsidP="00185EC6">
            <w:r>
              <w:t xml:space="preserve">The purpose of the Assembly is to establish the County back on land.  </w:t>
            </w:r>
          </w:p>
          <w:p w14:paraId="5C2F1E54" w14:textId="77777777" w:rsidR="008D2FFB" w:rsidRDefault="008D2FFB" w:rsidP="008D2FFB">
            <w:pPr>
              <w:pStyle w:val="ListParagraph"/>
              <w:numPr>
                <w:ilvl w:val="0"/>
                <w:numId w:val="1"/>
              </w:numPr>
            </w:pPr>
            <w:r>
              <w:t>The Assembly will work together on the key steps for establishing the County back on land and support transitional efforts towards permanent elections at the appointed time.</w:t>
            </w:r>
          </w:p>
          <w:p w14:paraId="16AB68F1" w14:textId="77777777" w:rsidR="008D2FFB" w:rsidRDefault="008D2FFB" w:rsidP="008D2FFB">
            <w:pPr>
              <w:pStyle w:val="ListParagraph"/>
              <w:numPr>
                <w:ilvl w:val="0"/>
                <w:numId w:val="1"/>
              </w:numPr>
            </w:pPr>
            <w:r>
              <w:t>The Assembly will work in collaboration with other County Assemblies in Indiana.</w:t>
            </w:r>
          </w:p>
          <w:p w14:paraId="48E592A8" w14:textId="177B7CAC" w:rsidR="008D2FFB" w:rsidRDefault="008D2FFB" w:rsidP="008D2FFB">
            <w:pPr>
              <w:pStyle w:val="ListParagraph"/>
              <w:numPr>
                <w:ilvl w:val="0"/>
                <w:numId w:val="1"/>
              </w:numPr>
            </w:pPr>
            <w:r>
              <w:t>The Assembly sh</w:t>
            </w:r>
            <w:r w:rsidR="00DE11C2">
              <w:t>all</w:t>
            </w:r>
            <w:r>
              <w:t xml:space="preserve"> uphold the Indiana Republic Constitution.</w:t>
            </w:r>
          </w:p>
        </w:tc>
      </w:tr>
      <w:tr w:rsidR="008D2FFB" w14:paraId="0838EF3C" w14:textId="77777777" w:rsidTr="00C21673">
        <w:trPr>
          <w:trHeight w:val="5359"/>
        </w:trPr>
        <w:tc>
          <w:tcPr>
            <w:tcW w:w="1927" w:type="dxa"/>
          </w:tcPr>
          <w:p w14:paraId="45EBB5AA" w14:textId="77777777" w:rsidR="008D2FFB" w:rsidRPr="006F62EB" w:rsidRDefault="008D2FFB" w:rsidP="00185EC6">
            <w:pPr>
              <w:rPr>
                <w:b/>
                <w:bCs/>
              </w:rPr>
            </w:pPr>
            <w:r>
              <w:rPr>
                <w:b/>
                <w:bCs/>
              </w:rPr>
              <w:t>Article III: Membership</w:t>
            </w:r>
          </w:p>
        </w:tc>
        <w:tc>
          <w:tcPr>
            <w:tcW w:w="7387" w:type="dxa"/>
          </w:tcPr>
          <w:p w14:paraId="7EA50F80" w14:textId="77777777" w:rsidR="008D2FFB" w:rsidRDefault="008D2FFB" w:rsidP="00185EC6">
            <w:r>
              <w:t>Eligibility: Membership is open to:</w:t>
            </w:r>
          </w:p>
          <w:p w14:paraId="1D508C0D" w14:textId="462B5ED6" w:rsidR="008D2FFB" w:rsidRPr="00C21673" w:rsidRDefault="00326E2E" w:rsidP="00C21673">
            <w:pPr>
              <w:pStyle w:val="ListParagraph"/>
              <w:numPr>
                <w:ilvl w:val="0"/>
                <w:numId w:val="9"/>
              </w:numPr>
              <w:rPr>
                <w:rFonts w:eastAsia="Times New Roman"/>
              </w:rPr>
            </w:pPr>
            <w:r w:rsidRPr="00C21673">
              <w:rPr>
                <w:rFonts w:eastAsia="Times New Roman"/>
              </w:rPr>
              <w:t>Th</w:t>
            </w:r>
            <w:r w:rsidR="00C21673" w:rsidRPr="00C21673">
              <w:rPr>
                <w:rFonts w:eastAsia="Times New Roman"/>
              </w:rPr>
              <w:t>ose who</w:t>
            </w:r>
            <w:r w:rsidRPr="00C21673">
              <w:rPr>
                <w:rFonts w:eastAsia="Times New Roman"/>
              </w:rPr>
              <w:t xml:space="preserve"> are registered to use the IndianaRepublic.us Forum and are a member</w:t>
            </w:r>
            <w:r w:rsidR="00C21673">
              <w:rPr>
                <w:rFonts w:eastAsia="Times New Roman"/>
              </w:rPr>
              <w:t xml:space="preserve"> </w:t>
            </w:r>
            <w:r w:rsidRPr="00C21673">
              <w:rPr>
                <w:rFonts w:eastAsia="Times New Roman"/>
              </w:rPr>
              <w:t xml:space="preserve">of the national Republic for the </w:t>
            </w:r>
            <w:proofErr w:type="gramStart"/>
            <w:r w:rsidR="00DE11C2">
              <w:rPr>
                <w:rFonts w:eastAsia="Times New Roman"/>
              </w:rPr>
              <w:t>u</w:t>
            </w:r>
            <w:r w:rsidRPr="00C21673">
              <w:rPr>
                <w:rFonts w:eastAsia="Times New Roman"/>
              </w:rPr>
              <w:t>nited States</w:t>
            </w:r>
            <w:proofErr w:type="gramEnd"/>
            <w:r w:rsidR="00DE11C2">
              <w:rPr>
                <w:rFonts w:eastAsia="Times New Roman"/>
              </w:rPr>
              <w:t xml:space="preserve"> of America</w:t>
            </w:r>
            <w:r w:rsidRPr="00C21673">
              <w:rPr>
                <w:rFonts w:eastAsia="Times New Roman"/>
              </w:rPr>
              <w:t xml:space="preserve"> (republicfortheunitedstatesofamerica.org).</w:t>
            </w:r>
          </w:p>
          <w:p w14:paraId="36198D97" w14:textId="294C567F" w:rsidR="008D2FFB" w:rsidRDefault="00C21673" w:rsidP="008D2FFB">
            <w:pPr>
              <w:pStyle w:val="ListParagraph"/>
              <w:numPr>
                <w:ilvl w:val="0"/>
                <w:numId w:val="2"/>
              </w:numPr>
            </w:pPr>
            <w:r>
              <w:t xml:space="preserve">Must be </w:t>
            </w:r>
            <w:r w:rsidR="008D2FFB">
              <w:t>18 years old or older.</w:t>
            </w:r>
          </w:p>
          <w:p w14:paraId="0D599C8C" w14:textId="472F22E6" w:rsidR="008D2FFB" w:rsidRDefault="00C21673" w:rsidP="008D2FFB">
            <w:pPr>
              <w:pStyle w:val="ListParagraph"/>
              <w:numPr>
                <w:ilvl w:val="0"/>
                <w:numId w:val="2"/>
              </w:numPr>
            </w:pPr>
            <w:r>
              <w:t xml:space="preserve">Must </w:t>
            </w:r>
            <w:r w:rsidR="008D2FFB">
              <w:t>have lived in the United States for at least 3 years and are a citizen of the United States.</w:t>
            </w:r>
          </w:p>
          <w:p w14:paraId="41D74D4C" w14:textId="01BC3550" w:rsidR="008D2FFB" w:rsidRDefault="00C21673" w:rsidP="008D2FFB">
            <w:pPr>
              <w:pStyle w:val="ListParagraph"/>
              <w:numPr>
                <w:ilvl w:val="0"/>
                <w:numId w:val="2"/>
              </w:numPr>
            </w:pPr>
            <w:r>
              <w:t xml:space="preserve">Must </w:t>
            </w:r>
            <w:r w:rsidR="008D2FFB">
              <w:t xml:space="preserve">currently live in </w:t>
            </w:r>
            <w:r w:rsidR="00E63B5F" w:rsidRPr="00E63B5F">
              <w:rPr>
                <w:highlight w:val="magenta"/>
              </w:rPr>
              <w:t>(Your)</w:t>
            </w:r>
            <w:r w:rsidR="008D2FFB">
              <w:t xml:space="preserve"> County</w:t>
            </w:r>
            <w:r w:rsidR="00E63B5F">
              <w:t>, Indiana.</w:t>
            </w:r>
          </w:p>
          <w:p w14:paraId="7BBD3D6A" w14:textId="77777777" w:rsidR="008D2FFB" w:rsidRDefault="008D2FFB" w:rsidP="008D2FFB">
            <w:pPr>
              <w:pStyle w:val="ListParagraph"/>
              <w:numPr>
                <w:ilvl w:val="0"/>
                <w:numId w:val="2"/>
              </w:numPr>
            </w:pPr>
            <w:r>
              <w:t>Non-individuals (like companies) cannot be members.</w:t>
            </w:r>
          </w:p>
          <w:p w14:paraId="25E9FF6C" w14:textId="77777777" w:rsidR="008D2FFB" w:rsidRDefault="008D2FFB" w:rsidP="00185EC6">
            <w:r>
              <w:t>Registered Members</w:t>
            </w:r>
          </w:p>
          <w:p w14:paraId="1CF8AC13" w14:textId="221FA1E2" w:rsidR="008D2FFB" w:rsidRDefault="008D2FFB" w:rsidP="008D2FFB">
            <w:pPr>
              <w:pStyle w:val="ListParagraph"/>
              <w:numPr>
                <w:ilvl w:val="0"/>
                <w:numId w:val="8"/>
              </w:numPr>
            </w:pPr>
            <w:r>
              <w:t>All active members of the Indianarepublic.us forum will be listed as members</w:t>
            </w:r>
            <w:r w:rsidR="00B610AD">
              <w:t>.</w:t>
            </w:r>
          </w:p>
          <w:p w14:paraId="0AEE2694" w14:textId="77777777" w:rsidR="008D2FFB" w:rsidRDefault="008D2FFB" w:rsidP="00185EC6">
            <w:r>
              <w:t>Fees and Subscriptions</w:t>
            </w:r>
          </w:p>
          <w:p w14:paraId="6D4AAECA" w14:textId="77777777" w:rsidR="008D2FFB" w:rsidRDefault="008D2FFB" w:rsidP="008D2FFB">
            <w:pPr>
              <w:pStyle w:val="ListParagraph"/>
              <w:numPr>
                <w:ilvl w:val="0"/>
                <w:numId w:val="8"/>
              </w:numPr>
            </w:pPr>
            <w:r>
              <w:t>There are no fees to be a member.</w:t>
            </w:r>
          </w:p>
          <w:p w14:paraId="65206FF8" w14:textId="77777777" w:rsidR="008D2FFB" w:rsidRDefault="008D2FFB" w:rsidP="00185EC6">
            <w:r>
              <w:t>Members Liability</w:t>
            </w:r>
          </w:p>
          <w:p w14:paraId="28746F36" w14:textId="1E319FDC" w:rsidR="008D2FFB" w:rsidRDefault="008D2FFB" w:rsidP="008D2FFB">
            <w:pPr>
              <w:pStyle w:val="ListParagraph"/>
              <w:numPr>
                <w:ilvl w:val="0"/>
                <w:numId w:val="8"/>
              </w:numPr>
            </w:pPr>
            <w:r>
              <w:t>Members do not have to worry about any financial obligation to be a member.</w:t>
            </w:r>
          </w:p>
          <w:p w14:paraId="15DB3699" w14:textId="77777777" w:rsidR="008D2FFB" w:rsidRDefault="008D2FFB" w:rsidP="00185EC6"/>
          <w:p w14:paraId="15CA461B" w14:textId="204C758C" w:rsidR="008D2FFB" w:rsidRDefault="008D2FFB" w:rsidP="00185EC6">
            <w:r>
              <w:t>Composition: The Assembly shall consist of 4-7 members to start the process</w:t>
            </w:r>
            <w:r w:rsidR="00C21673">
              <w:t>, and can continue to grow</w:t>
            </w:r>
            <w:r>
              <w:t>. The composition of the Assembly shall strive to reflect a diversity of experience, skills, and perspectives relevant to the Assembly’s purpose.</w:t>
            </w:r>
          </w:p>
          <w:p w14:paraId="0BF027F8" w14:textId="77777777" w:rsidR="008D2FFB" w:rsidRDefault="008D2FFB" w:rsidP="00185EC6"/>
          <w:p w14:paraId="173A0460" w14:textId="55EDE2B8" w:rsidR="008D2FFB" w:rsidRDefault="008D2FFB" w:rsidP="00185EC6">
            <w:r>
              <w:t xml:space="preserve">A person is no longer a member of the </w:t>
            </w:r>
            <w:r w:rsidR="00B610AD">
              <w:t>Assembly</w:t>
            </w:r>
            <w:r>
              <w:t xml:space="preserve"> if they:</w:t>
            </w:r>
          </w:p>
          <w:p w14:paraId="27C6A1F4" w14:textId="77777777" w:rsidR="008D2FFB" w:rsidRDefault="008D2FFB" w:rsidP="008D2FFB">
            <w:pPr>
              <w:pStyle w:val="ListParagraph"/>
              <w:numPr>
                <w:ilvl w:val="0"/>
                <w:numId w:val="3"/>
              </w:numPr>
            </w:pPr>
            <w:r>
              <w:t>pass away,</w:t>
            </w:r>
          </w:p>
          <w:p w14:paraId="0A3FE7A2" w14:textId="77777777" w:rsidR="008D2FFB" w:rsidRDefault="008D2FFB" w:rsidP="008D2FFB">
            <w:pPr>
              <w:pStyle w:val="ListParagraph"/>
              <w:numPr>
                <w:ilvl w:val="0"/>
                <w:numId w:val="3"/>
              </w:numPr>
            </w:pPr>
            <w:r>
              <w:t>resign, or</w:t>
            </w:r>
          </w:p>
          <w:p w14:paraId="50A5EB19" w14:textId="77777777" w:rsidR="008D2FFB" w:rsidRDefault="008D2FFB" w:rsidP="008D2FFB">
            <w:pPr>
              <w:pStyle w:val="ListParagraph"/>
              <w:numPr>
                <w:ilvl w:val="0"/>
                <w:numId w:val="3"/>
              </w:numPr>
            </w:pPr>
            <w:r>
              <w:t>are expelled from the association.</w:t>
            </w:r>
          </w:p>
        </w:tc>
      </w:tr>
      <w:tr w:rsidR="008D2FFB" w14:paraId="0CD66713" w14:textId="77777777" w:rsidTr="00C21673">
        <w:trPr>
          <w:trHeight w:val="1408"/>
        </w:trPr>
        <w:tc>
          <w:tcPr>
            <w:tcW w:w="1927" w:type="dxa"/>
          </w:tcPr>
          <w:p w14:paraId="0B3E7969" w14:textId="77777777" w:rsidR="008D2FFB" w:rsidRPr="006F62EB" w:rsidRDefault="008D2FFB" w:rsidP="00185EC6">
            <w:pPr>
              <w:rPr>
                <w:b/>
                <w:bCs/>
              </w:rPr>
            </w:pPr>
            <w:r>
              <w:rPr>
                <w:b/>
                <w:bCs/>
              </w:rPr>
              <w:t>Article IV: Meetings</w:t>
            </w:r>
          </w:p>
        </w:tc>
        <w:tc>
          <w:tcPr>
            <w:tcW w:w="7387" w:type="dxa"/>
          </w:tcPr>
          <w:p w14:paraId="76C475DA" w14:textId="77777777" w:rsidR="008D2FFB" w:rsidRDefault="008D2FFB" w:rsidP="00185EC6">
            <w:r>
              <w:t>Frequency: The Assembly will meet regularly on a date and time determined by the Moderator at minimum monthly.  Meetings can be held in person or virtually depending on circumstance.</w:t>
            </w:r>
          </w:p>
          <w:p w14:paraId="69EA1BB0" w14:textId="77777777" w:rsidR="008D2FFB" w:rsidRDefault="008D2FFB" w:rsidP="00185EC6"/>
          <w:p w14:paraId="55351391" w14:textId="15B192CE" w:rsidR="008D2FFB" w:rsidRDefault="008D2FFB" w:rsidP="00185EC6">
            <w:r>
              <w:t xml:space="preserve">Quorum: There shall be at least 4 members for a committee meeting. </w:t>
            </w:r>
            <w:r w:rsidR="00F047A0">
              <w:t>F</w:t>
            </w:r>
            <w:r w:rsidR="00F047A0">
              <w:t>or a General Assembly</w:t>
            </w:r>
            <w:r w:rsidR="00F047A0">
              <w:t xml:space="preserve"> meeting,</w:t>
            </w:r>
            <w:r w:rsidR="00F047A0">
              <w:t xml:space="preserve"> </w:t>
            </w:r>
            <w:r w:rsidR="00F047A0">
              <w:t>a</w:t>
            </w:r>
            <w:r>
              <w:t xml:space="preserve"> quorum shall be </w:t>
            </w:r>
            <w:r w:rsidR="00F047A0">
              <w:t xml:space="preserve">when </w:t>
            </w:r>
            <w:r>
              <w:t>at least 30% of the members roster</w:t>
            </w:r>
            <w:r w:rsidR="00F047A0">
              <w:t xml:space="preserve"> are present</w:t>
            </w:r>
            <w:r>
              <w:t xml:space="preserve"> for any official decisions to be made. </w:t>
            </w:r>
          </w:p>
          <w:p w14:paraId="703C7957" w14:textId="77777777" w:rsidR="008D2FFB" w:rsidRDefault="008D2FFB" w:rsidP="00185EC6"/>
          <w:p w14:paraId="5B07EC60" w14:textId="77777777" w:rsidR="008D2FFB" w:rsidRDefault="008D2FFB" w:rsidP="00185EC6">
            <w:r>
              <w:t xml:space="preserve">Decision making: Will be Consensus based decision making and majority vote. In the event of a tie, the moderator shall cast the deciding vote. </w:t>
            </w:r>
          </w:p>
          <w:p w14:paraId="5A03FCC2" w14:textId="77777777" w:rsidR="008D2FFB" w:rsidRDefault="008D2FFB" w:rsidP="00185EC6"/>
          <w:p w14:paraId="66048F2B" w14:textId="77777777" w:rsidR="008D2FFB" w:rsidRDefault="008D2FFB" w:rsidP="00185EC6">
            <w:r>
              <w:t xml:space="preserve">Notice of general assembly meetings: Meeting notices, including agendas, must be sent to all members at least 5 days in advance before each meeting. </w:t>
            </w:r>
          </w:p>
          <w:p w14:paraId="57F545A7" w14:textId="77777777" w:rsidR="008D2FFB" w:rsidRDefault="008D2FFB" w:rsidP="00185EC6"/>
          <w:p w14:paraId="777DFA1F" w14:textId="77777777" w:rsidR="008D2FFB" w:rsidRDefault="008D2FFB" w:rsidP="00185EC6">
            <w:r>
              <w:t>Notice of committee meetings: Meeting notices, including agendas, must be sent to all members at least 48 hours in advance before each meeting.</w:t>
            </w:r>
          </w:p>
          <w:p w14:paraId="36F16B07" w14:textId="77777777" w:rsidR="008D2FFB" w:rsidRDefault="008D2FFB" w:rsidP="00185EC6"/>
          <w:p w14:paraId="66A3B771" w14:textId="5338310C" w:rsidR="008D2FFB" w:rsidRDefault="008D2FFB" w:rsidP="00185EC6">
            <w:r>
              <w:t xml:space="preserve">Minutes and Record Keeping: The secretary is responsible for maintaining accurate minutes of all meetings, which will be distributed to officers within 7 days after each meeting or </w:t>
            </w:r>
            <w:r w:rsidR="002D24DC">
              <w:t xml:space="preserve">be </w:t>
            </w:r>
            <w:r>
              <w:t xml:space="preserve">available upon request. </w:t>
            </w:r>
          </w:p>
          <w:p w14:paraId="31C16A54" w14:textId="77777777" w:rsidR="008D2FFB" w:rsidRDefault="008D2FFB" w:rsidP="00185EC6"/>
          <w:p w14:paraId="6418F127" w14:textId="1B7342AF" w:rsidR="008D2FFB" w:rsidRDefault="008D2FFB" w:rsidP="00185EC6">
            <w:r>
              <w:t xml:space="preserve">Annual General Meeting: the </w:t>
            </w:r>
            <w:r w:rsidR="000326E7">
              <w:t>County Assembly</w:t>
            </w:r>
            <w:r>
              <w:t xml:space="preserve"> must hold its first annual general meeting within the first 18 months of being formed. </w:t>
            </w:r>
          </w:p>
          <w:p w14:paraId="2BE860CD" w14:textId="77777777" w:rsidR="008D2FFB" w:rsidRDefault="008D2FFB" w:rsidP="00185EC6"/>
        </w:tc>
      </w:tr>
      <w:tr w:rsidR="008D2FFB" w14:paraId="5A045032" w14:textId="77777777" w:rsidTr="00C21673">
        <w:trPr>
          <w:trHeight w:val="5997"/>
        </w:trPr>
        <w:tc>
          <w:tcPr>
            <w:tcW w:w="1927" w:type="dxa"/>
          </w:tcPr>
          <w:p w14:paraId="183D0C23" w14:textId="77777777" w:rsidR="008D2FFB" w:rsidRPr="006F62EB" w:rsidRDefault="008D2FFB" w:rsidP="00185EC6">
            <w:pPr>
              <w:rPr>
                <w:b/>
                <w:bCs/>
              </w:rPr>
            </w:pPr>
            <w:r>
              <w:rPr>
                <w:b/>
                <w:bCs/>
              </w:rPr>
              <w:t>Article V: Officers</w:t>
            </w:r>
          </w:p>
        </w:tc>
        <w:tc>
          <w:tcPr>
            <w:tcW w:w="7387" w:type="dxa"/>
          </w:tcPr>
          <w:p w14:paraId="79075215" w14:textId="05018A5F" w:rsidR="008D2FFB" w:rsidRDefault="008D2FFB" w:rsidP="00185EC6">
            <w:r>
              <w:t xml:space="preserve">The Assembly shall elect the following </w:t>
            </w:r>
            <w:r w:rsidR="000326E7">
              <w:t xml:space="preserve">Pro </w:t>
            </w:r>
            <w:proofErr w:type="spellStart"/>
            <w:proofErr w:type="gramStart"/>
            <w:r w:rsidR="000326E7">
              <w:t>Tem</w:t>
            </w:r>
            <w:proofErr w:type="spellEnd"/>
            <w:r w:rsidR="000326E7">
              <w:t xml:space="preserve">  </w:t>
            </w:r>
            <w:r w:rsidR="00F047A0">
              <w:t>(</w:t>
            </w:r>
            <w:proofErr w:type="gramEnd"/>
            <w:r w:rsidR="000326E7">
              <w:t xml:space="preserve">temporary) </w:t>
            </w:r>
            <w:r>
              <w:t xml:space="preserve">officers: </w:t>
            </w:r>
          </w:p>
          <w:p w14:paraId="28E4F8C0" w14:textId="77777777" w:rsidR="008D2FFB" w:rsidRDefault="008D2FFB" w:rsidP="00185EC6"/>
          <w:p w14:paraId="7327A0CF" w14:textId="61ED4695" w:rsidR="008D2FFB" w:rsidRDefault="008D2FFB" w:rsidP="00185EC6">
            <w:r>
              <w:t>Moderator:</w:t>
            </w:r>
          </w:p>
          <w:p w14:paraId="525114D7" w14:textId="66B9A555" w:rsidR="008D2FFB" w:rsidRDefault="008D2FFB" w:rsidP="008D2FFB">
            <w:pPr>
              <w:pStyle w:val="ListParagraph"/>
              <w:numPr>
                <w:ilvl w:val="0"/>
                <w:numId w:val="4"/>
              </w:numPr>
            </w:pPr>
            <w:r>
              <w:t>Manage and run the meeting</w:t>
            </w:r>
            <w:r w:rsidR="000326E7">
              <w:t>s</w:t>
            </w:r>
            <w:r>
              <w:t xml:space="preserve">. </w:t>
            </w:r>
          </w:p>
          <w:p w14:paraId="0B996ED3" w14:textId="77777777" w:rsidR="008D2FFB" w:rsidRDefault="008D2FFB" w:rsidP="008D2FFB">
            <w:pPr>
              <w:pStyle w:val="ListParagraph"/>
              <w:numPr>
                <w:ilvl w:val="0"/>
                <w:numId w:val="4"/>
              </w:numPr>
            </w:pPr>
            <w:r>
              <w:t>Create agenda prior to meeting.</w:t>
            </w:r>
          </w:p>
          <w:p w14:paraId="183D4BA7" w14:textId="77777777" w:rsidR="008D2FFB" w:rsidRDefault="008D2FFB" w:rsidP="008D2FFB">
            <w:pPr>
              <w:pStyle w:val="ListParagraph"/>
              <w:numPr>
                <w:ilvl w:val="0"/>
                <w:numId w:val="4"/>
              </w:numPr>
            </w:pPr>
            <w:r>
              <w:t>Facilitate meeting and determine venue.</w:t>
            </w:r>
          </w:p>
          <w:p w14:paraId="028C0596" w14:textId="6635B06C" w:rsidR="008D2FFB" w:rsidRDefault="008D2FFB" w:rsidP="008D2FFB">
            <w:pPr>
              <w:pStyle w:val="ListParagraph"/>
              <w:numPr>
                <w:ilvl w:val="0"/>
                <w:numId w:val="4"/>
              </w:numPr>
            </w:pPr>
            <w:r>
              <w:t xml:space="preserve">If Bailiff is unavailable, the Moderator can call on other officers to manage disturbances or disruption.  </w:t>
            </w:r>
          </w:p>
          <w:p w14:paraId="50BEFCA5" w14:textId="77777777" w:rsidR="008D2FFB" w:rsidRDefault="008D2FFB" w:rsidP="00185EC6"/>
          <w:p w14:paraId="49EF25C7" w14:textId="4A1165E0" w:rsidR="008D2FFB" w:rsidRDefault="008D2FFB" w:rsidP="00185EC6">
            <w:r>
              <w:t>Bailiff:</w:t>
            </w:r>
          </w:p>
          <w:p w14:paraId="768919FB" w14:textId="77777777" w:rsidR="008D2FFB" w:rsidRDefault="008D2FFB" w:rsidP="008D2FFB">
            <w:pPr>
              <w:pStyle w:val="ListParagraph"/>
              <w:numPr>
                <w:ilvl w:val="0"/>
                <w:numId w:val="5"/>
              </w:numPr>
            </w:pPr>
            <w:r>
              <w:t>Preserve courteous conduct of assembly members at all times.</w:t>
            </w:r>
          </w:p>
          <w:p w14:paraId="04B6B876" w14:textId="77777777" w:rsidR="008D2FFB" w:rsidRDefault="008D2FFB" w:rsidP="008D2FFB">
            <w:pPr>
              <w:pStyle w:val="ListParagraph"/>
              <w:numPr>
                <w:ilvl w:val="0"/>
                <w:numId w:val="5"/>
              </w:numPr>
            </w:pPr>
            <w:r>
              <w:t>Authority to stop any meeting if there is perceived danger to members.</w:t>
            </w:r>
          </w:p>
          <w:p w14:paraId="70CF2729" w14:textId="77777777" w:rsidR="008D2FFB" w:rsidRDefault="008D2FFB" w:rsidP="008D2FFB">
            <w:pPr>
              <w:pStyle w:val="ListParagraph"/>
              <w:numPr>
                <w:ilvl w:val="0"/>
                <w:numId w:val="5"/>
              </w:numPr>
            </w:pPr>
            <w:r>
              <w:t>Available to all members to help with any function of a meeting or gathering.</w:t>
            </w:r>
          </w:p>
          <w:p w14:paraId="561E34BF" w14:textId="0CA4C79B" w:rsidR="008D2FFB" w:rsidRDefault="008D2FFB" w:rsidP="008D2FFB">
            <w:pPr>
              <w:pStyle w:val="ListParagraph"/>
              <w:numPr>
                <w:ilvl w:val="0"/>
                <w:numId w:val="5"/>
              </w:numPr>
            </w:pPr>
            <w:r>
              <w:t>Authority to remove any disruptive member or non-member should they become a threat to other members</w:t>
            </w:r>
            <w:r w:rsidR="000326E7">
              <w:t xml:space="preserve"> or to keep the order</w:t>
            </w:r>
            <w:r>
              <w:t>.</w:t>
            </w:r>
          </w:p>
          <w:p w14:paraId="5FDA701B" w14:textId="77777777" w:rsidR="008D2FFB" w:rsidRDefault="008D2FFB" w:rsidP="00185EC6"/>
          <w:p w14:paraId="5A0BAB27" w14:textId="2C81C3BF" w:rsidR="008D2FFB" w:rsidRDefault="008D2FFB" w:rsidP="00185EC6">
            <w:r>
              <w:t>Scribe:</w:t>
            </w:r>
          </w:p>
          <w:p w14:paraId="0CB1CDDD" w14:textId="77777777" w:rsidR="008D2FFB" w:rsidRDefault="008D2FFB" w:rsidP="008D2FFB">
            <w:pPr>
              <w:pStyle w:val="ListParagraph"/>
              <w:numPr>
                <w:ilvl w:val="0"/>
                <w:numId w:val="7"/>
              </w:numPr>
            </w:pPr>
            <w:r>
              <w:t>Details the meetings with minutes for archives for future reference.</w:t>
            </w:r>
          </w:p>
          <w:p w14:paraId="1C3350D5" w14:textId="77777777" w:rsidR="008D2FFB" w:rsidRDefault="008D2FFB" w:rsidP="008D2FFB">
            <w:pPr>
              <w:pStyle w:val="ListParagraph"/>
              <w:numPr>
                <w:ilvl w:val="0"/>
                <w:numId w:val="7"/>
              </w:numPr>
            </w:pPr>
            <w:r>
              <w:t>Documents every motion and action.</w:t>
            </w:r>
          </w:p>
          <w:p w14:paraId="77B0C209" w14:textId="77777777" w:rsidR="008D2FFB" w:rsidRDefault="008D2FFB" w:rsidP="008D2FFB">
            <w:pPr>
              <w:pStyle w:val="ListParagraph"/>
              <w:numPr>
                <w:ilvl w:val="0"/>
                <w:numId w:val="7"/>
              </w:numPr>
            </w:pPr>
            <w:r>
              <w:t>Organizes and files all stored Assembly documents.</w:t>
            </w:r>
          </w:p>
          <w:p w14:paraId="5310B81F" w14:textId="77777777" w:rsidR="008D2FFB" w:rsidRDefault="008D2FFB" w:rsidP="008D2FFB">
            <w:pPr>
              <w:pStyle w:val="ListParagraph"/>
              <w:numPr>
                <w:ilvl w:val="0"/>
                <w:numId w:val="7"/>
              </w:numPr>
            </w:pPr>
            <w:r>
              <w:t>Organizes guest speakers, social media comments and recordings of conversations.</w:t>
            </w:r>
          </w:p>
          <w:p w14:paraId="6BF9A6DE" w14:textId="77777777" w:rsidR="000326E7" w:rsidRDefault="000326E7" w:rsidP="000326E7">
            <w:pPr>
              <w:pStyle w:val="ListParagraph"/>
            </w:pPr>
          </w:p>
          <w:p w14:paraId="437469FC" w14:textId="77777777" w:rsidR="008D2FFB" w:rsidRDefault="008D2FFB" w:rsidP="00185EC6"/>
          <w:p w14:paraId="6412B186" w14:textId="77777777" w:rsidR="008D2FFB" w:rsidRDefault="008D2FFB" w:rsidP="00185EC6">
            <w:r>
              <w:t>Treasurer (optional)</w:t>
            </w:r>
          </w:p>
          <w:p w14:paraId="3C315EBC" w14:textId="77777777" w:rsidR="008D2FFB" w:rsidRDefault="008D2FFB" w:rsidP="008D2FFB">
            <w:pPr>
              <w:pStyle w:val="ListParagraph"/>
              <w:numPr>
                <w:ilvl w:val="0"/>
                <w:numId w:val="6"/>
              </w:numPr>
            </w:pPr>
            <w:r>
              <w:t>Responsible for incoming finances and outflow payment of expenses.</w:t>
            </w:r>
          </w:p>
          <w:p w14:paraId="4D0C3234" w14:textId="77777777" w:rsidR="008D2FFB" w:rsidRDefault="008D2FFB" w:rsidP="008D2FFB">
            <w:pPr>
              <w:pStyle w:val="ListParagraph"/>
              <w:numPr>
                <w:ilvl w:val="0"/>
                <w:numId w:val="6"/>
              </w:numPr>
            </w:pPr>
            <w:r>
              <w:t>Accounting, accountability of all currency.</w:t>
            </w:r>
          </w:p>
          <w:p w14:paraId="67EEE1E9" w14:textId="77777777" w:rsidR="008D2FFB" w:rsidRDefault="008D2FFB" w:rsidP="008D2FFB">
            <w:pPr>
              <w:pStyle w:val="ListParagraph"/>
              <w:numPr>
                <w:ilvl w:val="0"/>
                <w:numId w:val="6"/>
              </w:numPr>
            </w:pPr>
            <w:r>
              <w:t>Sets forth a budget for each year with quarterly reports for members.</w:t>
            </w:r>
          </w:p>
          <w:p w14:paraId="525D8C7F" w14:textId="77777777" w:rsidR="008D2FFB" w:rsidRDefault="008D2FFB" w:rsidP="008D2FFB">
            <w:pPr>
              <w:pStyle w:val="ListParagraph"/>
              <w:numPr>
                <w:ilvl w:val="0"/>
                <w:numId w:val="6"/>
              </w:numPr>
            </w:pPr>
            <w:r>
              <w:t>Budgeting forecasts twice a year for accurate budgeting.</w:t>
            </w:r>
          </w:p>
          <w:p w14:paraId="69E3D0B5" w14:textId="77777777" w:rsidR="008D2FFB" w:rsidRDefault="008D2FFB" w:rsidP="00185EC6"/>
          <w:p w14:paraId="63CA9129" w14:textId="77777777" w:rsidR="008D2FFB" w:rsidRDefault="008D2FFB" w:rsidP="00185EC6">
            <w:r>
              <w:t xml:space="preserve">Officers will be elected through a vote in the Assembly for a temporary period of time until the military establishes elections for the Republic.  </w:t>
            </w:r>
          </w:p>
          <w:p w14:paraId="6D2FB0D4" w14:textId="77777777" w:rsidR="008D2FFB" w:rsidRDefault="008D2FFB" w:rsidP="00185EC6"/>
          <w:p w14:paraId="599F942C" w14:textId="77777777" w:rsidR="008D2FFB" w:rsidRDefault="008D2FFB" w:rsidP="00185EC6">
            <w:r>
              <w:t xml:space="preserve">Officers may be removed from their position by a majority vote of the Committee Members. </w:t>
            </w:r>
          </w:p>
        </w:tc>
      </w:tr>
      <w:tr w:rsidR="008D2FFB" w14:paraId="6E15264D" w14:textId="77777777" w:rsidTr="00C21673">
        <w:trPr>
          <w:trHeight w:val="108"/>
        </w:trPr>
        <w:tc>
          <w:tcPr>
            <w:tcW w:w="1927" w:type="dxa"/>
          </w:tcPr>
          <w:p w14:paraId="728583CC" w14:textId="77777777" w:rsidR="008D2FFB" w:rsidRPr="006F62EB" w:rsidRDefault="008D2FFB" w:rsidP="00185EC6">
            <w:pPr>
              <w:rPr>
                <w:b/>
                <w:bCs/>
              </w:rPr>
            </w:pPr>
            <w:r>
              <w:rPr>
                <w:b/>
                <w:bCs/>
              </w:rPr>
              <w:t>Article VI: Committees and Subcommittees</w:t>
            </w:r>
          </w:p>
        </w:tc>
        <w:tc>
          <w:tcPr>
            <w:tcW w:w="7387" w:type="dxa"/>
          </w:tcPr>
          <w:p w14:paraId="071E300F" w14:textId="77777777" w:rsidR="008D2FFB" w:rsidRDefault="008D2FFB" w:rsidP="00185EC6">
            <w:r>
              <w:t xml:space="preserve">The Assembly may establish subcommittees or working groups to address specific tasks or issues as necessary. These subcommittees will operate under the guidance of the Assembly and will report progress at regular meetings. </w:t>
            </w:r>
          </w:p>
          <w:p w14:paraId="2C26682C" w14:textId="77777777" w:rsidR="008D2FFB" w:rsidRDefault="008D2FFB" w:rsidP="00185EC6"/>
          <w:p w14:paraId="587726B7" w14:textId="2F0239E4" w:rsidR="008D2FFB" w:rsidRDefault="008D2FFB" w:rsidP="00185EC6">
            <w:r>
              <w:t xml:space="preserve">The subcommittees shall have authority only as delegated by the Assembly and will not make binding decisions unless authorized to do so. Subcommittees will be dissolved when their assigned tasks are completed or upon the request of Assembly. </w:t>
            </w:r>
          </w:p>
        </w:tc>
      </w:tr>
      <w:tr w:rsidR="008D2FFB" w14:paraId="4A05169C" w14:textId="77777777" w:rsidTr="00C21673">
        <w:trPr>
          <w:trHeight w:val="108"/>
        </w:trPr>
        <w:tc>
          <w:tcPr>
            <w:tcW w:w="1927" w:type="dxa"/>
          </w:tcPr>
          <w:p w14:paraId="3C6B406C" w14:textId="77777777" w:rsidR="008D2FFB" w:rsidRPr="002D39A3" w:rsidRDefault="008D2FFB" w:rsidP="00185EC6">
            <w:pPr>
              <w:rPr>
                <w:b/>
                <w:bCs/>
              </w:rPr>
            </w:pPr>
            <w:r w:rsidRPr="002D39A3">
              <w:rPr>
                <w:b/>
                <w:bCs/>
              </w:rPr>
              <w:t>Article VII: Amendments</w:t>
            </w:r>
          </w:p>
        </w:tc>
        <w:tc>
          <w:tcPr>
            <w:tcW w:w="7387" w:type="dxa"/>
          </w:tcPr>
          <w:p w14:paraId="7993512A" w14:textId="77777777" w:rsidR="008D2FFB" w:rsidRPr="002D39A3" w:rsidRDefault="008D2FFB" w:rsidP="00185EC6">
            <w:r w:rsidRPr="002D39A3">
              <w:t>Process: These bylaws may be amended by a majority (two-thirds) vote of the Assembly.  Proposed amendments must be submitted in writing and distributed to all members at least 7 days in advance where the vote will take place.</w:t>
            </w:r>
          </w:p>
          <w:p w14:paraId="239DA19C" w14:textId="77777777" w:rsidR="008D2FFB" w:rsidRPr="002D39A3" w:rsidRDefault="008D2FFB" w:rsidP="00185EC6"/>
          <w:p w14:paraId="714DA021" w14:textId="77777777" w:rsidR="008D2FFB" w:rsidRDefault="008D2FFB" w:rsidP="00185EC6">
            <w:r w:rsidRPr="002D39A3">
              <w:t>Approval: Amendments to the bylaws become effective immediately upon approval, unless otherwise stated.</w:t>
            </w:r>
            <w:r>
              <w:t xml:space="preserve"> </w:t>
            </w:r>
          </w:p>
        </w:tc>
      </w:tr>
      <w:tr w:rsidR="008D2FFB" w14:paraId="1D1422E1" w14:textId="77777777" w:rsidTr="00C21673">
        <w:trPr>
          <w:trHeight w:val="108"/>
        </w:trPr>
        <w:tc>
          <w:tcPr>
            <w:tcW w:w="1927" w:type="dxa"/>
          </w:tcPr>
          <w:p w14:paraId="40414BFE" w14:textId="77777777" w:rsidR="008D2FFB" w:rsidRDefault="008D2FFB" w:rsidP="00185EC6">
            <w:pPr>
              <w:rPr>
                <w:b/>
                <w:bCs/>
              </w:rPr>
            </w:pPr>
            <w:r>
              <w:rPr>
                <w:b/>
                <w:bCs/>
              </w:rPr>
              <w:t>Article VIII: Conflict of Interest</w:t>
            </w:r>
          </w:p>
        </w:tc>
        <w:tc>
          <w:tcPr>
            <w:tcW w:w="7387" w:type="dxa"/>
          </w:tcPr>
          <w:p w14:paraId="240D29A4" w14:textId="77777777" w:rsidR="008D2FFB" w:rsidRDefault="008D2FFB" w:rsidP="00185EC6">
            <w:r>
              <w:t xml:space="preserve">Disclosure: Any member with a potential conflict of interest related to an agenda item must disclose the conflict prior to discussion and abstain from voting on the matter. </w:t>
            </w:r>
          </w:p>
          <w:p w14:paraId="28032E4E" w14:textId="77777777" w:rsidR="008D2FFB" w:rsidRDefault="008D2FFB" w:rsidP="00185EC6">
            <w:r>
              <w:t xml:space="preserve">Definition of COI: A conflict of interest may include, but is not limited to, any situation where a member stands to gain personally or financially from a decision the Committee is making. </w:t>
            </w:r>
          </w:p>
        </w:tc>
      </w:tr>
      <w:tr w:rsidR="008D2FFB" w14:paraId="313E2533" w14:textId="77777777" w:rsidTr="00C21673">
        <w:trPr>
          <w:trHeight w:val="108"/>
        </w:trPr>
        <w:tc>
          <w:tcPr>
            <w:tcW w:w="1927" w:type="dxa"/>
          </w:tcPr>
          <w:p w14:paraId="288AE296" w14:textId="77777777" w:rsidR="008D2FFB" w:rsidRDefault="008D2FFB" w:rsidP="00185EC6">
            <w:pPr>
              <w:rPr>
                <w:b/>
                <w:bCs/>
              </w:rPr>
            </w:pPr>
            <w:r>
              <w:rPr>
                <w:b/>
                <w:bCs/>
              </w:rPr>
              <w:t>Article IX: Code of Conduct</w:t>
            </w:r>
          </w:p>
        </w:tc>
        <w:tc>
          <w:tcPr>
            <w:tcW w:w="7387" w:type="dxa"/>
          </w:tcPr>
          <w:p w14:paraId="73236DF4" w14:textId="77777777" w:rsidR="008D2FFB" w:rsidRDefault="008D2FFB" w:rsidP="00185EC6">
            <w:r>
              <w:t>Professionalism: All members are expected to conduct themselves professionally, maintaining respect and courtesy during meetings and in interactions with one another, online and in public.</w:t>
            </w:r>
          </w:p>
        </w:tc>
      </w:tr>
      <w:tr w:rsidR="008D2FFB" w14:paraId="1BE7CA24" w14:textId="77777777" w:rsidTr="00C21673">
        <w:trPr>
          <w:trHeight w:val="108"/>
        </w:trPr>
        <w:tc>
          <w:tcPr>
            <w:tcW w:w="1927" w:type="dxa"/>
          </w:tcPr>
          <w:p w14:paraId="3825DD3C" w14:textId="77777777" w:rsidR="008D2FFB" w:rsidRDefault="008D2FFB" w:rsidP="00185EC6">
            <w:pPr>
              <w:rPr>
                <w:b/>
                <w:bCs/>
              </w:rPr>
            </w:pPr>
            <w:r>
              <w:rPr>
                <w:b/>
                <w:bCs/>
              </w:rPr>
              <w:t>Article X: Distribution of Property on Winding Up</w:t>
            </w:r>
          </w:p>
        </w:tc>
        <w:tc>
          <w:tcPr>
            <w:tcW w:w="7387" w:type="dxa"/>
          </w:tcPr>
          <w:p w14:paraId="1FA51A1F" w14:textId="41A993FF" w:rsidR="008D2FFB" w:rsidRDefault="008D2FFB" w:rsidP="00185EC6">
            <w:r>
              <w:t xml:space="preserve"> </w:t>
            </w:r>
            <w:r w:rsidR="000326E7">
              <w:t>Should the County Assembly be unwound or</w:t>
            </w:r>
            <w:r>
              <w:t xml:space="preserve"> dissolved, any remaining property must be given to another organization that has similar goals</w:t>
            </w:r>
            <w:r w:rsidR="000326E7">
              <w:t>.</w:t>
            </w:r>
          </w:p>
        </w:tc>
      </w:tr>
      <w:tr w:rsidR="008D2FFB" w14:paraId="72195AB9" w14:textId="77777777" w:rsidTr="00C21673">
        <w:trPr>
          <w:trHeight w:val="803"/>
        </w:trPr>
        <w:tc>
          <w:tcPr>
            <w:tcW w:w="1927" w:type="dxa"/>
          </w:tcPr>
          <w:p w14:paraId="2642875E" w14:textId="77777777" w:rsidR="008D2FFB" w:rsidRPr="002D24DC" w:rsidRDefault="008D2FFB" w:rsidP="00185EC6">
            <w:pPr>
              <w:rPr>
                <w:b/>
                <w:bCs/>
              </w:rPr>
            </w:pPr>
            <w:r w:rsidRPr="002D24DC">
              <w:rPr>
                <w:b/>
                <w:bCs/>
              </w:rPr>
              <w:t xml:space="preserve">Adopted on </w:t>
            </w:r>
          </w:p>
          <w:p w14:paraId="614FF524" w14:textId="77777777" w:rsidR="008D2FFB" w:rsidRPr="002D24DC" w:rsidRDefault="008D2FFB" w:rsidP="00185EC6">
            <w:pPr>
              <w:rPr>
                <w:b/>
                <w:bCs/>
              </w:rPr>
            </w:pPr>
          </w:p>
          <w:p w14:paraId="537C57AB" w14:textId="03B9F518" w:rsidR="008D2FFB" w:rsidRPr="002D24DC" w:rsidRDefault="002D24DC" w:rsidP="00185EC6">
            <w:pPr>
              <w:rPr>
                <w:b/>
                <w:bCs/>
              </w:rPr>
            </w:pPr>
            <w:r w:rsidRPr="002D39A3">
              <w:rPr>
                <w:rFonts w:eastAsia="Times New Roman"/>
                <w:b/>
                <w:bCs/>
                <w:highlight w:val="magenta"/>
              </w:rPr>
              <w:t>(</w:t>
            </w:r>
            <w:r w:rsidRPr="002D39A3">
              <w:rPr>
                <w:rFonts w:eastAsia="Times New Roman"/>
                <w:b/>
                <w:bCs/>
                <w:i/>
                <w:iCs/>
                <w:highlight w:val="magenta"/>
              </w:rPr>
              <w:t>Date)</w:t>
            </w:r>
          </w:p>
        </w:tc>
        <w:tc>
          <w:tcPr>
            <w:tcW w:w="7387" w:type="dxa"/>
          </w:tcPr>
          <w:p w14:paraId="7E442EA7" w14:textId="77777777" w:rsidR="008D2FFB" w:rsidRDefault="008D2FFB" w:rsidP="00185EC6">
            <w:r>
              <w:t>Signatures (Moderator</w:t>
            </w:r>
            <w:r w:rsidR="002D39A3">
              <w:t>,</w:t>
            </w:r>
            <w:r>
              <w:t xml:space="preserve"> Scribe</w:t>
            </w:r>
            <w:r w:rsidR="002D39A3">
              <w:t xml:space="preserve">, &amp; Bailiff) </w:t>
            </w:r>
            <w:r>
              <w:t>for the County Assembly</w:t>
            </w:r>
          </w:p>
          <w:p w14:paraId="2FFACA0A" w14:textId="77777777" w:rsidR="000326E7" w:rsidRDefault="000326E7" w:rsidP="00185EC6"/>
          <w:p w14:paraId="198D4305" w14:textId="62F18B0D" w:rsidR="000326E7" w:rsidRDefault="000326E7" w:rsidP="00185EC6">
            <w:proofErr w:type="gramStart"/>
            <w:r>
              <w:t>Moderator:_</w:t>
            </w:r>
            <w:proofErr w:type="gramEnd"/>
            <w:r>
              <w:t>__________________________________</w:t>
            </w:r>
          </w:p>
          <w:p w14:paraId="5A65E11A" w14:textId="77777777" w:rsidR="000326E7" w:rsidRDefault="000326E7" w:rsidP="00185EC6"/>
          <w:p w14:paraId="01089B80" w14:textId="77777777" w:rsidR="000326E7" w:rsidRDefault="000326E7" w:rsidP="00185EC6"/>
          <w:p w14:paraId="7FAB8082" w14:textId="77777777" w:rsidR="000326E7" w:rsidRDefault="000326E7" w:rsidP="00185EC6"/>
          <w:p w14:paraId="2305E020" w14:textId="30C40203" w:rsidR="000326E7" w:rsidRDefault="000326E7" w:rsidP="00185EC6">
            <w:proofErr w:type="gramStart"/>
            <w:r>
              <w:t>Scribe:_</w:t>
            </w:r>
            <w:proofErr w:type="gramEnd"/>
            <w:r>
              <w:t>______________________________________</w:t>
            </w:r>
          </w:p>
          <w:p w14:paraId="168A616C" w14:textId="77777777" w:rsidR="00CB2C61" w:rsidRDefault="00CB2C61" w:rsidP="00185EC6"/>
          <w:p w14:paraId="7D972B32" w14:textId="77777777" w:rsidR="00CB2C61" w:rsidRDefault="00CB2C61" w:rsidP="00185EC6"/>
          <w:p w14:paraId="449154D9" w14:textId="77777777" w:rsidR="00CB2C61" w:rsidRDefault="00CB2C61" w:rsidP="00185EC6"/>
          <w:p w14:paraId="03E58FF6" w14:textId="57CF504B" w:rsidR="00CB2C61" w:rsidRDefault="00CB2C61" w:rsidP="00185EC6">
            <w:proofErr w:type="gramStart"/>
            <w:r>
              <w:t>Bailiff:_</w:t>
            </w:r>
            <w:proofErr w:type="gramEnd"/>
            <w:r>
              <w:t>_______________________________________</w:t>
            </w:r>
          </w:p>
          <w:p w14:paraId="66CB3AEB" w14:textId="77777777" w:rsidR="000326E7" w:rsidRDefault="000326E7" w:rsidP="00185EC6"/>
          <w:p w14:paraId="2439F75E" w14:textId="77777777" w:rsidR="000326E7" w:rsidRDefault="000326E7" w:rsidP="00185EC6"/>
          <w:p w14:paraId="76E3B9A5" w14:textId="77777777" w:rsidR="000326E7" w:rsidRDefault="000326E7" w:rsidP="00185EC6"/>
          <w:p w14:paraId="0CBC3E8B" w14:textId="77777777" w:rsidR="000326E7" w:rsidRDefault="000326E7" w:rsidP="00185EC6"/>
          <w:p w14:paraId="2F2A5688" w14:textId="77777777" w:rsidR="000326E7" w:rsidRDefault="000326E7" w:rsidP="00185EC6"/>
          <w:p w14:paraId="5647B2D8" w14:textId="77777777" w:rsidR="000326E7" w:rsidRDefault="000326E7" w:rsidP="00185EC6"/>
          <w:p w14:paraId="2F4DB70C" w14:textId="77777777" w:rsidR="000326E7" w:rsidRDefault="000326E7" w:rsidP="00185EC6"/>
          <w:p w14:paraId="292D5312" w14:textId="77777777" w:rsidR="000326E7" w:rsidRDefault="000326E7" w:rsidP="00185EC6"/>
          <w:p w14:paraId="75B709CC" w14:textId="77777777" w:rsidR="000326E7" w:rsidRDefault="000326E7" w:rsidP="00185EC6"/>
          <w:p w14:paraId="34506821" w14:textId="77777777" w:rsidR="000326E7" w:rsidRDefault="000326E7" w:rsidP="00185EC6"/>
          <w:p w14:paraId="18455084" w14:textId="77777777" w:rsidR="000326E7" w:rsidRDefault="000326E7" w:rsidP="00185EC6"/>
          <w:p w14:paraId="33D59F0E" w14:textId="77777777" w:rsidR="000326E7" w:rsidRDefault="000326E7" w:rsidP="00185EC6"/>
          <w:p w14:paraId="643C230B" w14:textId="31B6D733" w:rsidR="000326E7" w:rsidRDefault="000326E7" w:rsidP="00185EC6"/>
        </w:tc>
      </w:tr>
    </w:tbl>
    <w:p w14:paraId="51BA6377" w14:textId="77777777" w:rsidR="008D2FFB" w:rsidRDefault="008D2FFB" w:rsidP="008D2FFB"/>
    <w:p w14:paraId="31D2DFB5" w14:textId="77777777" w:rsidR="001B6F98" w:rsidRDefault="001B6F98"/>
    <w:sectPr w:rsidR="001B6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4680"/>
    <w:multiLevelType w:val="hybridMultilevel"/>
    <w:tmpl w:val="D668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5331C"/>
    <w:multiLevelType w:val="hybridMultilevel"/>
    <w:tmpl w:val="2CAC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734A8"/>
    <w:multiLevelType w:val="hybridMultilevel"/>
    <w:tmpl w:val="8796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B1377"/>
    <w:multiLevelType w:val="hybridMultilevel"/>
    <w:tmpl w:val="5112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9E1879"/>
    <w:multiLevelType w:val="hybridMultilevel"/>
    <w:tmpl w:val="C22C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91BC6"/>
    <w:multiLevelType w:val="hybridMultilevel"/>
    <w:tmpl w:val="3E1C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FC0ECA"/>
    <w:multiLevelType w:val="hybridMultilevel"/>
    <w:tmpl w:val="4508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CE0510"/>
    <w:multiLevelType w:val="hybridMultilevel"/>
    <w:tmpl w:val="9690B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C2946"/>
    <w:multiLevelType w:val="hybridMultilevel"/>
    <w:tmpl w:val="56A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7644232">
    <w:abstractNumId w:val="4"/>
  </w:num>
  <w:num w:numId="2" w16cid:durableId="913441953">
    <w:abstractNumId w:val="6"/>
  </w:num>
  <w:num w:numId="3" w16cid:durableId="632639696">
    <w:abstractNumId w:val="0"/>
  </w:num>
  <w:num w:numId="4" w16cid:durableId="353844884">
    <w:abstractNumId w:val="8"/>
  </w:num>
  <w:num w:numId="5" w16cid:durableId="246966826">
    <w:abstractNumId w:val="3"/>
  </w:num>
  <w:num w:numId="6" w16cid:durableId="1472600076">
    <w:abstractNumId w:val="5"/>
  </w:num>
  <w:num w:numId="7" w16cid:durableId="1290626580">
    <w:abstractNumId w:val="7"/>
  </w:num>
  <w:num w:numId="8" w16cid:durableId="1606841058">
    <w:abstractNumId w:val="1"/>
  </w:num>
  <w:num w:numId="9" w16cid:durableId="1590892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FFB"/>
    <w:rsid w:val="000326E7"/>
    <w:rsid w:val="000B48CD"/>
    <w:rsid w:val="001B6F98"/>
    <w:rsid w:val="002D24DC"/>
    <w:rsid w:val="002D39A3"/>
    <w:rsid w:val="00322C97"/>
    <w:rsid w:val="00326E2E"/>
    <w:rsid w:val="004F3B0E"/>
    <w:rsid w:val="00676746"/>
    <w:rsid w:val="006F6A33"/>
    <w:rsid w:val="008D2FFB"/>
    <w:rsid w:val="009C7D4D"/>
    <w:rsid w:val="00A74167"/>
    <w:rsid w:val="00B610AD"/>
    <w:rsid w:val="00C21673"/>
    <w:rsid w:val="00CB2C61"/>
    <w:rsid w:val="00DE11C2"/>
    <w:rsid w:val="00E63B5F"/>
    <w:rsid w:val="00F047A0"/>
    <w:rsid w:val="00F14460"/>
    <w:rsid w:val="00F209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D268"/>
  <w15:chartTrackingRefBased/>
  <w15:docId w15:val="{29C6C08C-93FF-42FC-B5ED-B31A7603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FFB"/>
  </w:style>
  <w:style w:type="paragraph" w:styleId="Heading1">
    <w:name w:val="heading 1"/>
    <w:basedOn w:val="Normal"/>
    <w:next w:val="Normal"/>
    <w:link w:val="Heading1Char"/>
    <w:uiPriority w:val="9"/>
    <w:qFormat/>
    <w:rsid w:val="008D2F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2F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2F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F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2F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2F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F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F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F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F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2F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2F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2F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2F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2F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F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F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FFB"/>
    <w:rPr>
      <w:rFonts w:eastAsiaTheme="majorEastAsia" w:cstheme="majorBidi"/>
      <w:color w:val="272727" w:themeColor="text1" w:themeTint="D8"/>
    </w:rPr>
  </w:style>
  <w:style w:type="paragraph" w:styleId="Title">
    <w:name w:val="Title"/>
    <w:basedOn w:val="Normal"/>
    <w:next w:val="Normal"/>
    <w:link w:val="TitleChar"/>
    <w:uiPriority w:val="10"/>
    <w:qFormat/>
    <w:rsid w:val="008D2F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F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F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F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FFB"/>
    <w:pPr>
      <w:spacing w:before="160"/>
      <w:jc w:val="center"/>
    </w:pPr>
    <w:rPr>
      <w:i/>
      <w:iCs/>
      <w:color w:val="404040" w:themeColor="text1" w:themeTint="BF"/>
    </w:rPr>
  </w:style>
  <w:style w:type="character" w:customStyle="1" w:styleId="QuoteChar">
    <w:name w:val="Quote Char"/>
    <w:basedOn w:val="DefaultParagraphFont"/>
    <w:link w:val="Quote"/>
    <w:uiPriority w:val="29"/>
    <w:rsid w:val="008D2FFB"/>
    <w:rPr>
      <w:i/>
      <w:iCs/>
      <w:color w:val="404040" w:themeColor="text1" w:themeTint="BF"/>
    </w:rPr>
  </w:style>
  <w:style w:type="paragraph" w:styleId="ListParagraph">
    <w:name w:val="List Paragraph"/>
    <w:basedOn w:val="Normal"/>
    <w:uiPriority w:val="34"/>
    <w:qFormat/>
    <w:rsid w:val="008D2FFB"/>
    <w:pPr>
      <w:ind w:left="720"/>
      <w:contextualSpacing/>
    </w:pPr>
  </w:style>
  <w:style w:type="character" w:styleId="IntenseEmphasis">
    <w:name w:val="Intense Emphasis"/>
    <w:basedOn w:val="DefaultParagraphFont"/>
    <w:uiPriority w:val="21"/>
    <w:qFormat/>
    <w:rsid w:val="008D2FFB"/>
    <w:rPr>
      <w:i/>
      <w:iCs/>
      <w:color w:val="0F4761" w:themeColor="accent1" w:themeShade="BF"/>
    </w:rPr>
  </w:style>
  <w:style w:type="paragraph" w:styleId="IntenseQuote">
    <w:name w:val="Intense Quote"/>
    <w:basedOn w:val="Normal"/>
    <w:next w:val="Normal"/>
    <w:link w:val="IntenseQuoteChar"/>
    <w:uiPriority w:val="30"/>
    <w:qFormat/>
    <w:rsid w:val="008D2F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FFB"/>
    <w:rPr>
      <w:i/>
      <w:iCs/>
      <w:color w:val="0F4761" w:themeColor="accent1" w:themeShade="BF"/>
    </w:rPr>
  </w:style>
  <w:style w:type="character" w:styleId="IntenseReference">
    <w:name w:val="Intense Reference"/>
    <w:basedOn w:val="DefaultParagraphFont"/>
    <w:uiPriority w:val="32"/>
    <w:qFormat/>
    <w:rsid w:val="008D2FFB"/>
    <w:rPr>
      <w:b/>
      <w:bCs/>
      <w:smallCaps/>
      <w:color w:val="0F4761" w:themeColor="accent1" w:themeShade="BF"/>
      <w:spacing w:val="5"/>
    </w:rPr>
  </w:style>
  <w:style w:type="table" w:styleId="TableGrid">
    <w:name w:val="Table Grid"/>
    <w:basedOn w:val="TableNormal"/>
    <w:uiPriority w:val="39"/>
    <w:rsid w:val="008D2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80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Blake</dc:creator>
  <cp:keywords/>
  <dc:description/>
  <cp:lastModifiedBy>Glenna Jehl</cp:lastModifiedBy>
  <cp:revision>9</cp:revision>
  <dcterms:created xsi:type="dcterms:W3CDTF">2025-02-02T14:44:00Z</dcterms:created>
  <dcterms:modified xsi:type="dcterms:W3CDTF">2025-02-04T04:31:00Z</dcterms:modified>
</cp:coreProperties>
</file>